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Élément d'étanchéité borgne</w:t>
      </w:r>
    </w:p>
    <w:p>
      <w:pPr/>
      <w:r>
        <w:rPr/>
        <w:t xml:space="preserve">pour les paquets de maître d'œuvre</w:t>
      </w:r>
    </w:p>
    <w:p>
      <w:pPr/>
      <w:r>
        <w:rPr/>
        <w:t xml:space="preserve">Élément d'étanchéité pour étanchement borgne de lignes non occupées.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Code d‘article: SD0 BHP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Produit: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Information du fabricant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Textes descriptifs - Élément d'étanchéité borgne</dc:title>
  <dc:description/>
  <dc:subject/>
  <cp:keywords/>
  <cp:category/>
  <cp:lastModifiedBy/>
  <dcterms:created xsi:type="dcterms:W3CDTF">2024-07-03T09:52:19+02:00</dcterms:created>
  <dcterms:modified xsi:type="dcterms:W3CDTF">2024-07-03T09:52:19+02:00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