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utilisation dans passage étanche et bride en plastique HSI150. Version segmentée pour étanchement de câbles nouvellement installés ou déjà posés et dispositions de câbles diverses et répétitives. La garniture d'étanchéité personnalisée à bagues segmentées permet une adaptation sur place aux diamètres de câble. Plusieurs garnitures d'étanchéité personnalisées peuvent être remplacées par une garniture d'étanchéité universelle.</w:t>
      </w:r>
    </w:p>
    <w:p/>
    <w:p>
      <w:pPr/>
      <w:r>
        <w:rPr/>
        <w:t xml:space="preserve">Dimensions: Largeur d'étanchement : 60 mm; Plaques de presse : 5 mm; Øa : 150 / 160 mm</w:t>
      </w:r>
    </w:p>
    <w:p>
      <w:pPr>
        <w:spacing w:before="40" w:after="80"/>
      </w:pPr>
      <w:r>
        <w:rPr>
          <w:rFonts w:ascii="Arial" w:hAnsi="Arial" w:eastAsia="Arial" w:cs="Arial"/>
          <w:sz w:val="20"/>
          <w:szCs w:val="20"/>
        </w:rPr>
        <w:t xml:space="preserve">Matériau: Plaques de presse, vis, écrous et rondelles : acier inoxydable AISI 304L ou AISI 316L; Caoutchouc : EPDM</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 Liaison par la forme à la baïonnette par conséquent  résistance au déplacement; Aussi convenable pour l’étanchéification des câbles TRI-Delta</w:t>
      </w:r>
    </w:p>
    <w:p>
      <w:pPr>
        <w:spacing w:before="40" w:after="80"/>
      </w:pPr>
      <w:r>
        <w:rPr>
          <w:rFonts w:ascii="Arial" w:hAnsi="Arial" w:eastAsia="Arial" w:cs="Arial"/>
          <w:sz w:val="20"/>
          <w:szCs w:val="20"/>
        </w:rPr>
        <w:t xml:space="preserve">Code d‘article: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2024-04-27T13:41:57+02:00</dcterms:created>
  <dcterms:modified xsi:type="dcterms:W3CDTF">2024-04-27T13:41:57+02:00</dcterms:modified>
</cp:coreProperties>
</file>

<file path=docProps/custom.xml><?xml version="1.0" encoding="utf-8"?>
<Properties xmlns="http://schemas.openxmlformats.org/officeDocument/2006/custom-properties" xmlns:vt="http://schemas.openxmlformats.org/officeDocument/2006/docPropsVTypes"/>
</file>